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B80" w:rsidRDefault="00722B80" w:rsidP="00722B80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</w:p>
    <w:p w:rsidR="00722B80" w:rsidRDefault="00722B80" w:rsidP="00722B80">
      <w:pPr>
        <w:shd w:val="clear" w:color="auto" w:fill="FFFFFF"/>
        <w:spacing w:after="0" w:line="240" w:lineRule="auto"/>
        <w:outlineLvl w:val="1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</w:p>
    <w:p w:rsidR="00722B80" w:rsidRPr="00722B80" w:rsidRDefault="001861C5" w:rsidP="00722B80">
      <w:pPr>
        <w:shd w:val="clear" w:color="auto" w:fill="FFFFFF"/>
        <w:spacing w:after="0" w:line="240" w:lineRule="auto"/>
        <w:outlineLvl w:val="1"/>
        <w:rPr>
          <w:rFonts w:ascii="inherit" w:eastAsia="Times New Roman" w:hAnsi="inherit" w:cs="Arial"/>
          <w:b/>
          <w:bCs/>
          <w:caps/>
          <w:color w:val="333333"/>
          <w:kern w:val="36"/>
          <w:sz w:val="30"/>
          <w:szCs w:val="30"/>
          <w:lang w:eastAsia="pl-PL"/>
        </w:rPr>
      </w:pPr>
      <w:hyperlink r:id="rId5" w:history="1">
        <w:r w:rsidR="00722B80" w:rsidRPr="00722B80">
          <w:rPr>
            <w:rFonts w:ascii="Times New Roman" w:eastAsia="Times New Roman" w:hAnsi="Times New Roman" w:cs="Arial"/>
            <w:b/>
            <w:bCs/>
            <w:caps/>
            <w:color w:val="4574C1"/>
            <w:kern w:val="36"/>
            <w:sz w:val="30"/>
            <w:lang w:eastAsia="pl-PL"/>
          </w:rPr>
          <w:t>Przedszkole</w:t>
        </w:r>
      </w:hyperlink>
    </w:p>
    <w:p w:rsidR="00722B80" w:rsidRPr="00722B80" w:rsidRDefault="00722B80" w:rsidP="00722B80">
      <w:pPr>
        <w:shd w:val="clear" w:color="auto" w:fill="FFFFFF"/>
        <w:spacing w:after="0" w:line="240" w:lineRule="auto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Podstawa programowa wychowania przedszkolnego dla przedszkoli, oddziałów przedszkolnych w szkołach podstawowych oraz innych form wychowania przedszkolnego</w:t>
      </w: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br/>
        <w:t xml:space="preserve">Okres obowiązywania: od 2017 </w:t>
      </w:r>
    </w:p>
    <w:p w:rsidR="00722B80" w:rsidRPr="00722B80" w:rsidRDefault="00722B80" w:rsidP="00722B80">
      <w:pPr>
        <w:spacing w:before="450" w:after="450" w:line="240" w:lineRule="auto"/>
        <w:outlineLvl w:val="2"/>
        <w:rPr>
          <w:rFonts w:ascii="inherit" w:eastAsia="Times New Roman" w:hAnsi="inherit" w:cs="Arial"/>
          <w:color w:val="333333"/>
          <w:sz w:val="24"/>
          <w:szCs w:val="24"/>
          <w:lang w:eastAsia="pl-PL"/>
        </w:rPr>
      </w:pPr>
      <w:r w:rsidRPr="00722B80">
        <w:rPr>
          <w:rFonts w:ascii="inherit" w:eastAsia="Times New Roman" w:hAnsi="inherit" w:cs="Arial"/>
          <w:color w:val="333333"/>
          <w:sz w:val="24"/>
          <w:szCs w:val="24"/>
          <w:shd w:val="clear" w:color="auto" w:fill="E7EAEF"/>
          <w:lang w:eastAsia="pl-PL"/>
        </w:rPr>
        <w:t>Wstęp</w:t>
      </w:r>
    </w:p>
    <w:p w:rsidR="00722B80" w:rsidRPr="00722B80" w:rsidRDefault="00722B80" w:rsidP="00722B80">
      <w:pPr>
        <w:shd w:val="clear" w:color="auto" w:fill="FFFFFF"/>
        <w:spacing w:after="165" w:line="240" w:lineRule="auto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Podstawa programowa wychowania przedszkolnego wskazuje cel wychowania przedszkolnego, zadania profilaktyczno-wychowawcze przedszkola, oddziału przedszkolnego zorganizowanego w szkole podstawowej i innej formie wychowania przedszkolnego, zwanych dalej „przedszkolami”, oraz efekty realizacji zadań w postaci celów osiąganych przez dzieci na zakończenie wychowania przedszkolnego.</w:t>
      </w:r>
    </w:p>
    <w:p w:rsidR="00722B80" w:rsidRPr="00722B80" w:rsidRDefault="00722B80" w:rsidP="00722B80">
      <w:pPr>
        <w:shd w:val="clear" w:color="auto" w:fill="FFFFFF"/>
        <w:spacing w:line="240" w:lineRule="auto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Celem wychowania przedszkolnego jest wsparcie całościowego rozwoju dziecka. Wsparcie to realizowane jest przez proces opieki, wychowania i nauczania – uczenia się, co umożliwia dziecku odkrywanie własnych możliwości, sensu działania oraz gromadzenie doświadczeń na drodze prowadzącej do prawdy, dobra i piękna. W efekcie takiego wsparcia dziecko osiąga dojrzałość do podjęcia nauki na pierwszym etapie edukacji.</w:t>
      </w:r>
    </w:p>
    <w:p w:rsidR="00722B80" w:rsidRPr="00722B80" w:rsidRDefault="00722B80" w:rsidP="00722B80">
      <w:pPr>
        <w:spacing w:before="450" w:after="450" w:line="240" w:lineRule="auto"/>
        <w:outlineLvl w:val="2"/>
        <w:rPr>
          <w:rFonts w:ascii="inherit" w:eastAsia="Times New Roman" w:hAnsi="inherit" w:cs="Arial"/>
          <w:color w:val="333333"/>
          <w:sz w:val="24"/>
          <w:szCs w:val="24"/>
          <w:lang w:eastAsia="pl-PL"/>
        </w:rPr>
      </w:pPr>
      <w:r w:rsidRPr="00722B80">
        <w:rPr>
          <w:rFonts w:ascii="inherit" w:eastAsia="Times New Roman" w:hAnsi="inherit" w:cs="Arial"/>
          <w:color w:val="333333"/>
          <w:sz w:val="24"/>
          <w:szCs w:val="24"/>
          <w:shd w:val="clear" w:color="auto" w:fill="E7EAEF"/>
          <w:lang w:eastAsia="pl-PL"/>
        </w:rPr>
        <w:t>Zadania przedszkola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Wspieranie wielokierunkowej aktywności dziecka poprzez organizację warunków sprzyjających nabywaniu doświadczeń w fizycznym, emocjonalnym, społecznym i poznawczym obszarze jego rozwoju.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Tworzenie warunków umożliwiających dzieciom swobodny rozwój, zabawę i odpoczynek w poczuciu bezpieczeństwa.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Wspieranie aktywności dziecka podnoszącej poziom integracji sensorycznej i umiejętności korzystania z rozwijających się procesów poznawczych.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Zapewnienie prawidłowej organizacji warunków sprzyjających nabywaniu przez dzieci doświadczeń, które umożliwią im ciągłość procesów adaptacji oraz pomoc dzieciom rozwijającym się w sposób nieharmonijny, wolniejszy lub przyspieszony.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Wspieranie samodzielnej dziecięcej eksploracji świata, dobór treści adekwatnych do poziomu rozwoju dziecka, jego możliwości percepcyjnych, wyobrażeń i rozumowania, z poszanowaniem indywidualnych potrzeb i zainteresowań.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Wzmacnianie poczucia wartości, indywidualność, oryginalność dziecka oraz potrzeby tworzenia relacji osobowych i uczestnictwa w grupie.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Tworzenie sytuacji sprzyjających rozwojowi nawyków i zachowań prowadzących do samodzielności, dbania o zdrowie, sprawność ruchową i b </w:t>
      </w:r>
      <w:proofErr w:type="spellStart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ezpieczeństwo</w:t>
      </w:r>
      <w:proofErr w:type="spellEnd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, w tym bezpieczeństwo w ruchu drogowym.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Przygotowywanie do rozumienia emocji, uczuć własnych i innych ludzi oraz dbanie o zdrowie psychiczne, realizowane m.in. z wykorzystaniem naturalnych sytuacji, pojawiających się w przedszkolu oraz sytuacji zadaniowych, uwzględniających treści adekwatne do intelektualnych możliwości i oczekiwań rozwojowych dzieci.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Tworzenie sytuacji edukacyjnych budujących wrażliwość dziecka, w tym wrażliwość estetyczną, w odniesieniu do wielu sfer aktywności człowieka: mowy, zachowania, ruchu, środowiska, ubioru, muzyki, tańca, śpiewu, teatru, plastyki.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lastRenderedPageBreak/>
        <w:t>Tworzenie warunków pozwalających na bezpieczną, samodzielną eksplorację otaczającej dziecko przyrody, stymulujących rozwój wrażliwości i umożliwiających poznanie wartości oraz norm odnoszących się do środowiska przyrodniczego, adekwatnych do etapu rozwoju dziecka.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Tworzenie warunków umożliwiających bezpieczną, samodzielną eksplorację elementów techniki w otoczeniu, konstruowania, majsterkowania, planowania i podejmowania intencjonalnego działania, prezentowania wytworów swojej pracy.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Współdziałanie z rodzicami, różnymi środowiskami, organizacjami i instytucjami, uznanymi przez rodziców za źródło istotnych wartości, na rzecz tworzenia warunków umożliwiających rozwój tożsamości dziecka.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Kreowanie, wspólne z wymienionymi podmiotami, sytuacji prowadzących do poznania przez dziecko wartości i norm społecznych, których źródłem jest rodzina, grupa w przedszkolu, inne dorosłe osoby, w tym osoby starsze, oraz rozwijania zachowań wynikających z wartości możliwych do zrozumienia na tym etapie rozwoju.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Systematyczne uzupełnianie, za zgodą rodziców, realizowanych treści wychowawczych o nowe zagadnienia, wynikające z pojawienia się w otoczeniu dziecka zmian i zjawisk istotnych dla jego bezpieczeństwa i harmonijnego rozwoju.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Systematyczne wspieranie rozwoju mechanizmów uczenia się dziecka, prowadzące do osiągnięcia przez nie poziomu umożliwiającego podjęcie nauki w szkole.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Organizowanie zajęć – zgodnie z potrzebami – umożliwiających dziecku poznawanie kultury i języka mniejszości narodowej lub etnicznej lub języka regionalnego – kaszubskiego.</w:t>
      </w:r>
    </w:p>
    <w:p w:rsidR="00722B80" w:rsidRPr="00722B80" w:rsidRDefault="00722B80" w:rsidP="00722B80">
      <w:pPr>
        <w:numPr>
          <w:ilvl w:val="0"/>
          <w:numId w:val="2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Tworzenie sytuacji edukacyjnych sprzyjających budowaniu zainteresowania dziecka językiem obcym nowożytnym, chęci poznawania innych kultur.</w:t>
      </w:r>
    </w:p>
    <w:p w:rsidR="00722B80" w:rsidRPr="00722B80" w:rsidRDefault="00722B80" w:rsidP="00722B80">
      <w:pPr>
        <w:shd w:val="clear" w:color="auto" w:fill="FFFFFF"/>
        <w:spacing w:after="165" w:line="240" w:lineRule="auto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 </w:t>
      </w:r>
    </w:p>
    <w:p w:rsidR="00722B80" w:rsidRPr="00722B80" w:rsidRDefault="00722B80" w:rsidP="00722B80">
      <w:pPr>
        <w:shd w:val="clear" w:color="auto" w:fill="FFFFFF"/>
        <w:spacing w:after="165" w:line="240" w:lineRule="auto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Przygotowanie dzieci do posługiwania się językiem obcym nowożytnym nie dotyczy:</w:t>
      </w:r>
    </w:p>
    <w:p w:rsidR="00722B80" w:rsidRPr="00722B80" w:rsidRDefault="00722B80" w:rsidP="00722B80">
      <w:pPr>
        <w:numPr>
          <w:ilvl w:val="0"/>
          <w:numId w:val="3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dzieci posiadających orzeczenie o potrzebie kształcenia specjalnego wydane ze względu na niepełnosprawność intelektualną w stopniu umiarkowanym lub znacznym oraz dzieci posiadających orzeczenie o potrzebie kształcenia specjalnego wydane ze względu na niepełnosprawności sprzężone, jeżeli jedną z niepełnosprawności jest niepełnosprawność intelektualna w stopniu umiarkowanym lub znacznym;</w:t>
      </w:r>
    </w:p>
    <w:p w:rsidR="00722B80" w:rsidRPr="00722B80" w:rsidRDefault="00722B80" w:rsidP="00722B80">
      <w:pPr>
        <w:numPr>
          <w:ilvl w:val="0"/>
          <w:numId w:val="3"/>
        </w:numPr>
        <w:spacing w:before="100" w:beforeAutospacing="1" w:after="100" w:afterAutospacing="1" w:line="240" w:lineRule="auto"/>
        <w:ind w:left="-67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dzieci posiadających orzeczenie o potrzebie kształcenia specjalnego wydane ze względu na inne niż wymienione w </w:t>
      </w:r>
      <w:proofErr w:type="spellStart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pkt</w:t>
      </w:r>
      <w:proofErr w:type="spellEnd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 1 rodzaje niepełnosprawności, o których mowa w przepisach wydanych na podstawie art. 127 ust. 19 </w:t>
      </w:r>
      <w:proofErr w:type="spellStart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pkt</w:t>
      </w:r>
      <w:proofErr w:type="spellEnd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 2 ustawy z dnia 14 grudnia 2016 r. – Prawo oświatowe (Dz. U. z 2017 r. poz. 59), oraz jeżeli z indywidualnego programu edukacyjno-terapeutycznego wynika brak możliwości realizacji przygotowania do posługiwania się językiem obcym nowożytnym ze względu na indywidualne potrzeby rozwojowe i edukacyjne oraz możliwości psychofizyczne dziecka.</w:t>
      </w:r>
    </w:p>
    <w:p w:rsidR="00A154AB" w:rsidRDefault="00A154AB" w:rsidP="00722B80">
      <w:pPr>
        <w:spacing w:before="450" w:after="450" w:line="240" w:lineRule="auto"/>
        <w:outlineLvl w:val="2"/>
        <w:rPr>
          <w:rFonts w:ascii="inherit" w:eastAsia="Times New Roman" w:hAnsi="inherit" w:cs="Arial"/>
          <w:color w:val="333333"/>
          <w:sz w:val="24"/>
          <w:szCs w:val="24"/>
          <w:shd w:val="clear" w:color="auto" w:fill="E7EAEF"/>
          <w:lang w:eastAsia="pl-PL"/>
        </w:rPr>
      </w:pPr>
    </w:p>
    <w:p w:rsidR="00A154AB" w:rsidRDefault="00A154AB" w:rsidP="00722B80">
      <w:pPr>
        <w:spacing w:before="450" w:after="450" w:line="240" w:lineRule="auto"/>
        <w:outlineLvl w:val="2"/>
        <w:rPr>
          <w:rFonts w:ascii="inherit" w:eastAsia="Times New Roman" w:hAnsi="inherit" w:cs="Arial"/>
          <w:color w:val="333333"/>
          <w:sz w:val="24"/>
          <w:szCs w:val="24"/>
          <w:shd w:val="clear" w:color="auto" w:fill="E7EAEF"/>
          <w:lang w:eastAsia="pl-PL"/>
        </w:rPr>
      </w:pPr>
    </w:p>
    <w:p w:rsidR="00A154AB" w:rsidRDefault="00A154AB" w:rsidP="00722B80">
      <w:pPr>
        <w:spacing w:before="450" w:after="450" w:line="240" w:lineRule="auto"/>
        <w:outlineLvl w:val="2"/>
        <w:rPr>
          <w:rFonts w:ascii="inherit" w:eastAsia="Times New Roman" w:hAnsi="inherit" w:cs="Arial"/>
          <w:color w:val="333333"/>
          <w:sz w:val="24"/>
          <w:szCs w:val="24"/>
          <w:shd w:val="clear" w:color="auto" w:fill="E7EAEF"/>
          <w:lang w:eastAsia="pl-PL"/>
        </w:rPr>
      </w:pPr>
    </w:p>
    <w:p w:rsidR="00A154AB" w:rsidRDefault="00A154AB" w:rsidP="00722B80">
      <w:pPr>
        <w:spacing w:before="450" w:after="450" w:line="240" w:lineRule="auto"/>
        <w:outlineLvl w:val="2"/>
        <w:rPr>
          <w:rFonts w:ascii="inherit" w:eastAsia="Times New Roman" w:hAnsi="inherit" w:cs="Arial"/>
          <w:color w:val="333333"/>
          <w:sz w:val="24"/>
          <w:szCs w:val="24"/>
          <w:shd w:val="clear" w:color="auto" w:fill="E7EAEF"/>
          <w:lang w:eastAsia="pl-PL"/>
        </w:rPr>
      </w:pPr>
    </w:p>
    <w:p w:rsidR="00722B80" w:rsidRPr="00722B80" w:rsidRDefault="00722B80" w:rsidP="00722B80">
      <w:pPr>
        <w:spacing w:before="450" w:after="450" w:line="240" w:lineRule="auto"/>
        <w:outlineLvl w:val="2"/>
        <w:rPr>
          <w:rFonts w:ascii="inherit" w:eastAsia="Times New Roman" w:hAnsi="inherit" w:cs="Arial"/>
          <w:color w:val="333333"/>
          <w:sz w:val="24"/>
          <w:szCs w:val="24"/>
          <w:lang w:eastAsia="pl-PL"/>
        </w:rPr>
      </w:pPr>
      <w:r w:rsidRPr="00722B80">
        <w:rPr>
          <w:rFonts w:ascii="inherit" w:eastAsia="Times New Roman" w:hAnsi="inherit" w:cs="Arial"/>
          <w:color w:val="333333"/>
          <w:sz w:val="24"/>
          <w:szCs w:val="24"/>
          <w:shd w:val="clear" w:color="auto" w:fill="E7EAEF"/>
          <w:lang w:eastAsia="pl-PL"/>
        </w:rPr>
        <w:lastRenderedPageBreak/>
        <w:t>Osiągnięcia dziecka na koniec wychowania przedszkolnego</w:t>
      </w:r>
    </w:p>
    <w:p w:rsidR="00722B80" w:rsidRPr="00722B80" w:rsidRDefault="00722B80" w:rsidP="00722B8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Fizyczny obszar rozwoju dziecka. Dziecko przygotowane do podjęcia nauki w szkole: </w:t>
      </w:r>
    </w:p>
    <w:p w:rsidR="00722B80" w:rsidRPr="00722B80" w:rsidRDefault="00722B80" w:rsidP="00722B8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zgłasza potrzeby fizjologiczne, samodzielnie wykonuje podstawowe czynności higieniczne;</w:t>
      </w:r>
    </w:p>
    <w:p w:rsidR="00722B80" w:rsidRPr="00722B80" w:rsidRDefault="00722B80" w:rsidP="00722B8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wykonuje czynności samoobsługowe: ubieranie się i rozbieranie, w tym czynności precyzyjne, np. zapinanie guzików, wiązanie sznurowadeł;</w:t>
      </w:r>
    </w:p>
    <w:p w:rsidR="00722B80" w:rsidRPr="00722B80" w:rsidRDefault="00722B80" w:rsidP="00722B8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spożywa posiłki z użyciem sztućców, nakrywa do stołu i sprząta po posiłku;</w:t>
      </w:r>
    </w:p>
    <w:p w:rsidR="00722B80" w:rsidRPr="00722B80" w:rsidRDefault="00722B80" w:rsidP="00722B8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komunikuje potrzebę ruchu, odpoczynku itp.;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uczestniczy w zabawach ruchowych, w tym rytmicznych, muzycznych, naśladowczych, z przyborami lub bez nich; wykonuje różne formy ruchu: bieżne, skoczne, z </w:t>
      </w:r>
      <w:proofErr w:type="spellStart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czworakowaniem</w:t>
      </w:r>
      <w:proofErr w:type="spellEnd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, rzutne;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inicjuje zabawy konstrukcyjne, majsterkuje, buduje, wykorzystując zabawki, materiały użytkowe, w tym materiał naturalny;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wykonuje czynności, takie jak: sprzątanie, pakowanie, trzymanie przedmiotów jedną ręką i oburącz, małych przedmiotów z wykorzystaniem odpowiednio ukształtowanych chwytów dłoni, używa chwytu pisarskiego podczas rysowania, kreślenia i pierwszych prób pisania;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wykonuje podstawowe ćwiczenia kształtujące nawyk utrzymania prawidłowej postawy ciała;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wykazuje sprawność ciała i koordynację w stopniu pozwalającym na rozpoczęcie systematycznej nauki czynności złożonych, takich jak czytanie i pisanie.</w:t>
      </w:r>
    </w:p>
    <w:p w:rsidR="00722B80" w:rsidRPr="00722B80" w:rsidRDefault="00722B80" w:rsidP="00A154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Emocjonalny obszar rozwoju dziecka. Dziecko przygotowane do podjęcia nauki w szkole: 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rozpoznaje i nazywa podstawowe emocje, próbuje radzić sobie z ich przeżywaniem;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szanuje emocje swoje i innych osób;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przeżywa emocje w sposób umożliwiający mu adaptację w nowym otoczeniu, np. w nowej grupie dzieci, nowej grupie starszych dzieci, a także w nowej grupie dzieci i osób dorosłych;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przedstawia swoje emocje i uczucia, używając charakterystycznych dla dziecka form wyrazu;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rozstaje się z rodzicami bez lęku, ma świadomość, że rozstanie takie bywa dłuższe lub krótsze;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rozróżnia emocje i uczucia przyjemne i nieprzyjemne, ma świadomość, że odczuwają i przeżywają je wszyscy ludzie;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szuka wsparcia w sytuacjach trudnych dla niego emocjonalnie; wdraża swoje własne strategie, wspierane przez osoby dorosłe lub rówieśników;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zauważa, że nie wszystkie przeżywane emocje i uczucia mogą być podstawą do podejmowania natychmiastowego działania, panuje nad nieprzyjemną emocją, np. podczas czekania na własną kolej w zabawie lub innej sytuacji;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wczuwa się w emocje i uczucia osób z najbliższego otoczenia;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dostrzega, że zwierzęta posiadają zdolność odczuwania, przejawia w stosunku do nich życzliwość i troskę;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dostrzega emocjonalną wartość otoczenia przyrodniczego jako źródła satysfakcji estetycznej.</w:t>
      </w:r>
    </w:p>
    <w:p w:rsidR="00722B80" w:rsidRPr="00722B80" w:rsidRDefault="00722B80" w:rsidP="00A154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Społeczny obszar rozwoju dziecka. Dziecko przygotowane do podjęcia nauki w szkole: 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przejawia poczucie własnej wartości jako osoby, wyraża szacunek wobec innych osób i przestrzegając tych wartości, nawiązuje relacje rówieśnicze;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lastRenderedPageBreak/>
        <w:t>odczuwa i wyjaśnia swoją przynależność do rodziny, narodu, grupy przedszkolnej, grupy chłopców, grupy dziewczynek oraz innych grup, np. grupy teatralnej, grupy sportowej;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posługuje się swoim imieniem, nazwiskiem, adresem;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używa zwrotów grzecznościowych podczas powitania, pożegnania, sytuacji wymagającej przeproszenia i przyjęcia konsekwencji swojego zachowania;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ocenia swoje zachowanie w kontekście podjętych czynności i zadań oraz przyjętych norm grupowych; przyjmuje, respektuje i tworzy zasady zabawy w grupie, współdziała z dziećmi w zabawie, pracach użytecznych, podczas odpoczynku;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nazywa i rozpoznaje wartości związane z umiejętnościami i zachowaniami społecznymi, np. szacunek do dzieci i dorosłych, szacunek do ojczyzny, życzliwość okazywana dzieciom i dorosłym – obowiązkowość, przyjaźń, radość;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respektuje prawa i obowiązki swoje oraz innych osób, zwracając uwagę na ich indywidualne potrzeby;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obdarza uwagą inne dzieci i osoby dorosłe;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komunikuje się z dziećmi i osobami dorosłymi, wykorzystując komunikaty werbalne i pozawerbalne; wyraża swoje oczekiwania społeczne wobec innego dziecka, grupy.</w:t>
      </w:r>
    </w:p>
    <w:p w:rsidR="00722B80" w:rsidRPr="00722B80" w:rsidRDefault="00722B80" w:rsidP="00A154A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Poznawczy obszar rozwoju dziecka. Dziecko przygotowane do podjęcia nauki w szkole: 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wyraża swoje rozumienie świata, zjawisk i rzeczy znajdujących się w bliskim otoczeniu za pomocą komunikatów pozawerbalnych: tańca, intencjonalnego ruchu, gestów, impresji plastycznych, technicznych, teatralnych, mimicznych, konstrukcji i modeli z tworzyw i materiału naturalnego;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wyraża swoje rozumienie świata, zjawisk i rzeczy znajdujących się w bliskim otoczeniu za pomocą języka mówionego, posługuje się językiem polskim w mowie zrozumiałej dla dzieci i osób dorosłych, mówi płynnie, wyraźnie, rytmicznie, poprawnie wypowiada ciche i głośne dźwięki mowy, rozróżnia głoski na początku i końcu w wybranych prostych fonetycznie słowach;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odróżnia elementy świata fikcji od realnej rzeczywistości; byty rzeczywiste od medialnych, byty realistyczne od fikcyjnych;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rozpoznaje litery, którymi jest zainteresowane na skutek zabawy i spontanicznych odkryć, odczytuje krótkie wyrazy utworzone z poznanych liter w formie napisów drukowanych dotyczące treści znajdujących zastosowanie w codziennej aktywności;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odpowiada na pytania, opowiada o zdarzeniach z przedszkola, objaśnia kolejność zdarzeń w prostych historyjkach obrazkowych, układa historyjki obrazkowe, recytuje wierszyki, układa i rozwiązuje zagadki;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wykonuje własne eksperymenty językowe, nadaje znaczenie czynnościom, nazywa je, tworzy żarty językowe i sytuacyjne, uważnie słucha i nadaje znaczenie swym doświadczeniom;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eksperymentuje rytmem, głosem, dźwiękami i ruchem, rozwijając swoją wyobraźnię muzyczną; słucha, odtwarza i tworzy muzykę, śpiewa piosenki, porusza się przy muzyce i do muzyki, dostrzega zmiany charakteru muzyki, np. dynamiki, tempa i wysokości dźwięku oraz wyraża ją ruchem, reaguje na sygnały, muzykuje z użyciem instrumentów oraz innych źródeł dźwięku; śpiewa piosenki z dziecięcego repertuaru oraz łatwe piosenki ludowe; chętnie uczestniczy w zbiorowym muzykowaniu; wyraża emocje i zjawiska pozamuzyczne różnymi środkami aktywności muzycznej; aktywnie słucha muzyki; wykonuje lub rozpoznaje melodie, piosenki i pieśni, np. ważne dla </w:t>
      </w: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lastRenderedPageBreak/>
        <w:t>wszystkich dzieci w przedszkolu, np. hymn przedszkola, charakterystyczne dla uroczystości narodowych (hymn narodowy), potrzebne do organizacji uroczystości np. Dnia Babci i Dziadka, święta przedszkolaka (piosenki okazjonalne) i inne; w skupieniu słucha muzyki;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wykonuje własne eksperymenty graficzne farbą, kredką, ołówkiem, mazakiem itp., tworzy proste i złożone znaki, nadając im znaczenie, odkrywa w nich fragmenty wybranych liter, cyfr, kreśli wybrane litery i cyfry na gładkiej kartce papieru, wyjaśnia sposób powstania wykreślonych, narysowanych lub zapisanych kształtów, przetwarza obraz ruchowy na graficzny i odwrotnie, samodzielnie planuje ruch przed zapisaniem, np. znaku graficznego, litery i innych w przestrzeni sieci kwadratowej lub liniatury, określa kierunki i miejsca na kartce papieru;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czyta obrazy, wyodrębnia i nazywa ich elementy, nazywa symbole i znaki znajdujące się w otoczeniu, wyjaśnia ich znaczenie;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wymienia nazwę swojego kraju i jego stolicy, rozpoznaje symbole narodowe (godło, flaga, hymn), nazywa wybrane symbole związane z regionami Polski ukryte w podaniach, przysłowiach, legendach, bajkach, np. o smoku wawelskim, orientuje się, że Polska jest jednym z krajów Unii Europejskiej;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wyraża ekspresję twórczą podczas czynności konstrukcyjnych i zabawy, zagospodarowuje przestrzeń, nadając znaczenie umieszczonym w niej przedmiotom, określa ich położenie, liczbę, kształt, wielkość, ciężar, porównuje przedmioty w swoim otoczeniu z uwagi na wybraną cechę;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klasyfikuje przedmioty według: wielkości, kształtu, koloru, przeznaczenia, układa przedmioty w grupy, szeregi, rytmy, odtwarza układy przedmiotów i tworzy własne, nadając im znaczenie, rozróżnia podstawowe figury geometryczne (koło, kwadrat, trójkąt, prostokąt);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eksperymentuje, szacuje, przewiduje, dokonuje pomiaru długości przedmiotów, wykorzystując np. dłoń, stopę, but;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określa kierunki i ustala położenie przedmiotów w stosunku do własnej osoby, a także w stosunku do innych przedmiotów, rozróżnia stronę lewą i prawą;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przelicza elementy zbiorów w czasie zabawy, prac porządkowych, ćwiczeń i wykonywania innych czynności, posługuje się liczebnikami głównymi i porządkowymi, rozpoznaje cyfry oznaczające liczby od 0 do 10, eksperymentuje z tworzeniem kolejnych liczb, wykonuje dodawanie i odejmowanie w sytuacji użytkowej, liczy obiekty, odróżnia liczenie błędne od poprawnego;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posługuje się w zabawie i w trakcie wykonywania innych czynności pojęciami dotyczącymi następstwa czasu np. wczoraj, dzisiaj, jutro, rano, wieczorem, w tym nazwami pór roku, nazwami dni tygodnia i miesięcy;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rozpoznaje modele monet i banknotów o niskich nominałach, porządkuje je, rozumie, do czego służą pieniądze w gospodarstwie domowym;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posługuje się pojęciami dotyczącymi zjawisk przyrodniczych, np. tęcza, deszcz, burza, opadanie liści z drzew, sezonowa wędrówka ptaków, kwitnienie drzew, zamarzanie wody, dotyczącymi życia zwierząt, roślin, ludzi w środowisku przyrodniczym, korzystania z dóbr przyrody, np. grzybów, owoców, ziół;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podejmuje samodzielną aktywność poznawczą np. oglądanie książek, zagospodarowywanie przestrzeni własnymi pomysłami konstrukcyjnymi, korzystanie z nowoczesnej technologii itd.;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wskazuje zawody wykonywane przez rodziców i osoby z najbliższego otoczenia, wyjaśnia, czym zajmuje się osoba wykonująca dany zawód;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lastRenderedPageBreak/>
        <w:t>rozumie bardzo proste polecenia w języku obcym nowożytnym i reaguje na nie; uczestniczy w zabawach, np. muzycznych, ruchowych, plastycznych, konstrukcyjnych, teatralnych; używa wyrazów i zwrotów mających znaczenie dla danej zabawy lub innych podejmowanych czynności; powtarza rymowanki i proste wierszyki, śpiewa piosenki w grupie; rozumie ogólny sens krótkich historyjek opowiadanych lub czytanych, gdy są wspierane np. obrazkami, rekwizytami, ruchem, mimiką, gestami;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reaguje na proste polecenie w języku mniejszości narodowej lub etnicznej, używa wyrazów i zwrotów mających znaczenie w zabawie i innych podejmowanych czynnościach: powtarza rymowanki i proste wierszyki, śpiewa piosenki; rozumie ogólny sens krótkich historyjek opowiadanych lub czytanych wspieranych np. obrazkiem, rekwizytem, gestem; zna godło (symbol) swojej wspólnoty narodowej lub etnicznej;</w:t>
      </w:r>
    </w:p>
    <w:p w:rsidR="00722B80" w:rsidRPr="00722B80" w:rsidRDefault="00722B80" w:rsidP="00A154AB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21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reaguje na proste polecenie w języku regionalnym – kaszubskim, używa wyrazów i zwrotów mających znaczenie w zabawie i innych podejmowanych czynnościach: powtarza rymowanki i proste wierszyki, śpiewa piosenki; rozumie ogólny sens krótkich historyjek opowiadanych lub czytanych wspieranych np. obrazkiem, rekwizytem, gestem, zna godło (symbol) swojej wspólnoty regionalnej – kaszubskiej.</w:t>
      </w:r>
    </w:p>
    <w:p w:rsidR="00722B80" w:rsidRPr="00722B80" w:rsidRDefault="00722B80" w:rsidP="00A154AB">
      <w:pPr>
        <w:spacing w:before="450" w:after="450" w:line="240" w:lineRule="auto"/>
        <w:jc w:val="both"/>
        <w:outlineLvl w:val="2"/>
        <w:rPr>
          <w:rFonts w:ascii="inherit" w:eastAsia="Times New Roman" w:hAnsi="inherit" w:cs="Arial"/>
          <w:color w:val="333333"/>
          <w:sz w:val="24"/>
          <w:szCs w:val="24"/>
          <w:lang w:eastAsia="pl-PL"/>
        </w:rPr>
      </w:pPr>
      <w:r w:rsidRPr="00722B80">
        <w:rPr>
          <w:rFonts w:ascii="inherit" w:eastAsia="Times New Roman" w:hAnsi="inherit" w:cs="Arial"/>
          <w:color w:val="333333"/>
          <w:sz w:val="24"/>
          <w:szCs w:val="24"/>
          <w:shd w:val="clear" w:color="auto" w:fill="E7EAEF"/>
          <w:lang w:eastAsia="pl-PL"/>
        </w:rPr>
        <w:t>Warunki i sposób realizacji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Zgodnie z zapisami dotyczącymi zadań przedszkola nauczyciele organizują zajęcia wspierające rozwój dziecka. Wykorzystują do tego każdą sytuację i moment pobytu dziecka w przedszkolu, czyli tzw. zajęcia kierowane i niekierowane. Wszystkie doświadczenia dzieci płynące z organizacji pracy przedszkola są efektem realizacji programu wychowania przedszkolnego. Ważne są zatem zajęcia kierowane, jak i czas spożywania posiłków, czas przeznaczony na odpoczynek i charakter tego odpoczynku, uroczystości przedszkolne, wycieczki, ale i ubieranie, rozbieranie. Bardzo ważna jest samodzielna zabawa.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Przedstawione w podstawie programowej naturalne obszary rozwoju dziecka wskazują na konieczność uszanowania typowych dla tego okresu potrzeb rozwojowych, których spełnieniem powinna stać się dobrze zorganizowana zabawa, zarówno w budynku przedszkola, jak i na świeżym powietrzu. Naturalna zabawa dziecka wiąże się z doskonaleniem motoryki i zaspokojeniem potrzeby ruchu, dlatego organizacja zajęć na świeżym powietrzu powinna być elementem codziennej pracy z dzieckiem w każdej grupie wiekowej.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Nauczyciele, organizując zajęcia kierowane, biorą pod uwagę możliwości dzieci, ich oczekiwania poznawcze i potrzeby wyrażania swoich stanów emocjonalnych, komunikacji oraz chęci zabawy. Wykorzystują każdą naturalnie pojawiającą się sytuację edukacyjną prowadzącą do osiągnięcia dojrzałości szkolnej. Sytuacje edukacyjne wywołane np. oczekiwaniem poznania liter skutkują zabawami w ich rozpoznawaniu. Jeżeli dzieci w sposób naturalny są zainteresowane zabawami prowadzącymi do ćwiczeń czynności złożonych, takich jak liczenie, czytanie, a nawet pisanie, nauczyciel przygotowuje dzieci do wykonywania tychże czynności zgodnie z fizjologią i naturą pojawiania się tychże procesów.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Przedszkole jest miejscem, w którym poprzez zabawę dziecko poznaje alfabet liter drukowanych. Zabawa rozwija w dziecku oczekiwania poznawcze w tym zakresie i jest najlepszym rozwiązaniem metodycznym, które sprzyja jego rozwojowi. Zabawy przygotowujące do nauki pisania liter prowadzić powinny jedynie do optymalizacji napięcia mięśniowego, ćwiczeń planowania ruchu przy kreśleniu znaków o charakterze </w:t>
      </w:r>
      <w:proofErr w:type="spellStart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literopodobnym</w:t>
      </w:r>
      <w:proofErr w:type="spellEnd"/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, ćwiczeń czytania liniatury, wodzenia po śladzie i zapisu wybranego znaku graficznego. W trakcie wychowania przedszkolnego dziecko nie uczy się </w:t>
      </w: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lastRenderedPageBreak/>
        <w:t>czynności złożonych z udziałem całej grupy, lecz przygotowuje się do nauki czytania i pisania oraz uczestniczy w procesie alfabetyzacji.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Nauczyciele diagnozują, obserwują dzieci i twórczo organizują przestrzeń ich rozwoju, włączając do zabaw i doświadczeń przedszkolnych potencjał tkwiący w dzieciach oraz ich zaciekawienie elementami otoczenia.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Współczesny przedszkolak funkcjonuje w dynamicznym, szybko zmieniającym się otoczeniu, stąd przedszkole powinno stać się miejscem, w którym dziecko otrzyma pomoc w jego rozumieniu.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Organizacja zabawy, nauki i wypoczynku w przedszkolu oparta jest na rytmie dnia, czyli powtarzających się systematycznie fazach, które pozwalają dziecku na stopniowe zrozumienie pojęcia czasu i organizacji oraz dają poczucie bezpieczeństwa i spokoju, zapewniając mu zdrowy rozwój.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Pobyt w przedszkolu jest czasem wypełnionym zabawą, która pod okiem specjalistów tworzy pole doświadczeń rozwojowych budujących dojrzałość szkolną. Nauczyciele zwracają uwagę na konieczność tworzenia stosownych nawyków ruchowych u dzieci, które będą niezbędne, aby rozpocząć naukę w szkole, a także na rolę poznawania wielozmysłowego. Szczególne znaczenie dla budowy dojrzałości szkolnej mają zajęcia rytmiki, które powinny być prowadzone w każdej grupie wiekowej oraz gimnastyki, ze szczególnym uwzględnieniem ćwiczeń zapobiegających wadom postawy.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Nauczyciele systematycznie informują rodziców o postępach w rozwoju ich dziecka, zachęcają do współpracy w realizacji programu wychowania przedszkolnego oraz opracowują diagnozę dojrzałości szkolnej dla tych dzieci, które w danym roku mają rozpocząć naukę w szkole.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 xml:space="preserve">Przygotowanie dzieci do posługiwania się językiem obcym nowożytnym powinno być włączone w różne działania realizowane w ramach programu wychowania przedszkolnego i powinno odbywać się przede wszystkim w formie zabawy. Należy stworzyć warunki umożliwiające dzieciom osłuchanie się z językiem obcym w różnych sytuacjach życia codziennego. Może to zostać zrealizowane m.in. poprzez kierowanie do dzieci bardzo prostych poleceń w języku obcym w toku różnych zajęć i zabaw, wspólną lekturę książeczek dla dzieci w języku obcym, włączanie do zajęć rymowanek, prostych wierszyków, piosenek oraz materiałów audiowizualnych w języku obcym. Nauczyciel prowadzący zajęcia z dziećmi powinien wykorzystać naturalne sytuacje wynikające ze swobodnej zabawy dzieci, aby powtórzyć lub zastosować w dalszej zabawie poznane przez dzieci słowa lub zwroty. </w:t>
      </w: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br/>
        <w:t>Dokonując wyboru języka obcego nowożytnego, do posługiwania się którym będą przygotowywane dzieci uczęszczające do przedszkola lub innej formy wychowania przedszkolnego, należy brać pod uwagę, jaki język obcy nowożytny jest nauczany w szkołach podstawowych na terenie danej gminy.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Aranżacja przestrzeni wpływa na aktywność wychowanków, dlatego proponuje się takie jej zagospodarowanie, które pozwoli dzieciom na podejmowanie różnorodnych form działania. Wskazane jest zorganizowanie stałych i czasowych kącików zainteresowań. Jako stałe proponuje się kąciki: czytelniczy, konstrukcyjny, artystyczny, przyrodniczy. Jako czasowe proponuje się kąciki związane z realizowaną tematyką, świętami okolicznościowymi, specyfiką pracy przedszkola.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Elementem przestrzeni są także zabawki i pomoce dydaktyczne wykorzystywane w motywowaniu dzieci do podejmowania samodzielnego działania, odkrywania zjawisk oraz zachodzących procesów, utrwalania zdobytej wiedzy i umiejętności, inspirowania do prowadzenia własnych eksperymentów. Istotne jest, aby każde dziecko miało możliwość korzystania z nich bez nieuzasadnionych ograniczeń czasowych.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Elementem przestrzeni w przedszkolu są odpowiednio wyposażone miejsca przeznaczone na odpoczynek dzieci (leżak, materac, mata, poduszka), jak również elementy wyposażenia odpowiednie dla dzieci o specjalnych potrzebach edukacyjnych.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t>Estetyczna aranżacja wnętrz umożliwia celebrowanie posiłków (kulturalne, spokojne ich spożywanie połączone z nauką posługiwania się sztućcami), a także możliwość wybierania potraw przez dzieci (walory odżywcze i zdrowotne produktów), a nawet ich komponowania.</w:t>
      </w:r>
    </w:p>
    <w:p w:rsidR="00722B80" w:rsidRPr="00722B80" w:rsidRDefault="00722B80" w:rsidP="00A154AB">
      <w:pPr>
        <w:numPr>
          <w:ilvl w:val="0"/>
          <w:numId w:val="5"/>
        </w:numPr>
        <w:spacing w:before="100" w:beforeAutospacing="1" w:after="100" w:afterAutospacing="1" w:line="240" w:lineRule="auto"/>
        <w:ind w:left="-675"/>
        <w:jc w:val="both"/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333333"/>
          <w:sz w:val="24"/>
          <w:szCs w:val="24"/>
          <w:lang w:eastAsia="pl-PL"/>
        </w:rPr>
        <w:lastRenderedPageBreak/>
        <w:t>Aranżacja wnętrz umożliwia dzieciom podejmowanie prac porządkowych np. po i przed posiłkami, po zakończonej zabawie, przed wyjściem na spacer.</w:t>
      </w:r>
    </w:p>
    <w:p w:rsidR="00722B80" w:rsidRPr="00722B80" w:rsidRDefault="00722B80" w:rsidP="00A154AB">
      <w:pPr>
        <w:shd w:val="clear" w:color="auto" w:fill="4574C1"/>
        <w:spacing w:before="165" w:after="165" w:line="240" w:lineRule="auto"/>
        <w:jc w:val="both"/>
        <w:outlineLvl w:val="4"/>
        <w:rPr>
          <w:rFonts w:ascii="inherit" w:eastAsia="Times New Roman" w:hAnsi="inherit" w:cs="Arial"/>
          <w:color w:val="FFFFFF"/>
          <w:sz w:val="24"/>
          <w:szCs w:val="24"/>
          <w:lang w:eastAsia="pl-PL"/>
        </w:rPr>
      </w:pPr>
      <w:r w:rsidRPr="00722B80">
        <w:rPr>
          <w:rFonts w:ascii="inherit" w:eastAsia="Times New Roman" w:hAnsi="inherit" w:cs="Arial"/>
          <w:color w:val="FFFFFF"/>
          <w:sz w:val="24"/>
          <w:szCs w:val="24"/>
          <w:lang w:eastAsia="pl-PL"/>
        </w:rPr>
        <w:t>Źródło:</w:t>
      </w:r>
    </w:p>
    <w:p w:rsidR="00722B80" w:rsidRPr="00722B80" w:rsidRDefault="00722B80" w:rsidP="00A154AB">
      <w:pPr>
        <w:shd w:val="clear" w:color="auto" w:fill="4574C1"/>
        <w:spacing w:after="165" w:line="240" w:lineRule="auto"/>
        <w:jc w:val="both"/>
        <w:rPr>
          <w:rFonts w:ascii="Source Sans Pro" w:eastAsia="Times New Roman" w:hAnsi="Source Sans Pro" w:cs="Arial"/>
          <w:color w:val="FFFFFF"/>
          <w:sz w:val="24"/>
          <w:szCs w:val="24"/>
          <w:lang w:eastAsia="pl-PL"/>
        </w:rPr>
      </w:pPr>
      <w:r w:rsidRPr="00722B80">
        <w:rPr>
          <w:rFonts w:ascii="Source Sans Pro" w:eastAsia="Times New Roman" w:hAnsi="Source Sans Pro" w:cs="Arial"/>
          <w:color w:val="FFFFFF"/>
          <w:sz w:val="24"/>
          <w:szCs w:val="24"/>
          <w:lang w:eastAsia="pl-PL"/>
        </w:rPr>
        <w:t>Rozporządzenie Ministra Edukacji Narodowej z dnia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policealnej.</w:t>
      </w:r>
    </w:p>
    <w:p w:rsidR="004A6B3A" w:rsidRDefault="004A6B3A" w:rsidP="00A154AB">
      <w:pPr>
        <w:jc w:val="both"/>
      </w:pPr>
    </w:p>
    <w:sectPr w:rsidR="004A6B3A" w:rsidSect="004A6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84CA1"/>
    <w:multiLevelType w:val="multilevel"/>
    <w:tmpl w:val="C842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87416"/>
    <w:multiLevelType w:val="multilevel"/>
    <w:tmpl w:val="9F527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886082"/>
    <w:multiLevelType w:val="multilevel"/>
    <w:tmpl w:val="40CC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A9541F"/>
    <w:multiLevelType w:val="multilevel"/>
    <w:tmpl w:val="E214C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DF5D2D"/>
    <w:multiLevelType w:val="multilevel"/>
    <w:tmpl w:val="9B2C6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722B80"/>
    <w:rsid w:val="001861C5"/>
    <w:rsid w:val="004A6B3A"/>
    <w:rsid w:val="00722B80"/>
    <w:rsid w:val="00A15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B3A"/>
  </w:style>
  <w:style w:type="paragraph" w:styleId="Nagwek3">
    <w:name w:val="heading 3"/>
    <w:basedOn w:val="Normalny"/>
    <w:link w:val="Nagwek3Znak"/>
    <w:uiPriority w:val="9"/>
    <w:qFormat/>
    <w:rsid w:val="00722B80"/>
    <w:pPr>
      <w:spacing w:before="450" w:after="450" w:line="240" w:lineRule="auto"/>
      <w:outlineLvl w:val="2"/>
    </w:pPr>
    <w:rPr>
      <w:rFonts w:ascii="inherit" w:eastAsia="Times New Roman" w:hAnsi="inherit" w:cs="Times New Roman"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722B80"/>
    <w:pPr>
      <w:spacing w:before="165" w:after="165" w:line="240" w:lineRule="auto"/>
      <w:outlineLvl w:val="4"/>
    </w:pPr>
    <w:rPr>
      <w:rFonts w:ascii="inherit" w:eastAsia="Times New Roman" w:hAnsi="inherit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22B80"/>
    <w:rPr>
      <w:rFonts w:ascii="inherit" w:eastAsia="Times New Roman" w:hAnsi="inherit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722B80"/>
    <w:rPr>
      <w:rFonts w:ascii="inherit" w:eastAsia="Times New Roman" w:hAnsi="inherit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22B80"/>
    <w:rPr>
      <w:strike w:val="0"/>
      <w:dstrike w:val="0"/>
      <w:color w:val="4574C1"/>
      <w:u w:val="none"/>
      <w:effect w:val="none"/>
      <w:shd w:val="clear" w:color="auto" w:fill="auto"/>
    </w:rPr>
  </w:style>
  <w:style w:type="paragraph" w:styleId="NormalnyWeb">
    <w:name w:val="Normal (Web)"/>
    <w:basedOn w:val="Normalny"/>
    <w:uiPriority w:val="99"/>
    <w:semiHidden/>
    <w:unhideWhenUsed/>
    <w:rsid w:val="00722B80"/>
    <w:pPr>
      <w:spacing w:after="16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xpl">
    <w:name w:val="expl"/>
    <w:basedOn w:val="Domylnaczcionkaakapitu"/>
    <w:rsid w:val="00722B80"/>
  </w:style>
  <w:style w:type="paragraph" w:customStyle="1" w:styleId="sibling">
    <w:name w:val="sibling"/>
    <w:basedOn w:val="Normalny"/>
    <w:rsid w:val="00722B80"/>
    <w:pPr>
      <w:spacing w:after="16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9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23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3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82166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88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05820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9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10746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657918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32636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23888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089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dstawaprogramowa.pl/Przedszko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3308</Words>
  <Characters>19849</Characters>
  <Application>Microsoft Office Word</Application>
  <DocSecurity>0</DocSecurity>
  <Lines>165</Lines>
  <Paragraphs>46</Paragraphs>
  <ScaleCrop>false</ScaleCrop>
  <Company/>
  <LinksUpToDate>false</LinksUpToDate>
  <CharactersWithSpaces>23111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2019-01-28T09:24:00Z</dcterms:created>
  <dcterms:modified xsi:type="dcterms:W3CDTF">2019-01-31T09:44:00Z</dcterms:modified>
</cp:coreProperties>
</file>